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9A1D" w14:textId="77777777" w:rsidR="00DC560E" w:rsidRPr="00285B63" w:rsidRDefault="00DC560E" w:rsidP="00DC5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85B63">
        <w:rPr>
          <w:rFonts w:ascii="Arial" w:hAnsi="Arial" w:cs="Arial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65153BC0" wp14:editId="3C5A9197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481965" cy="4819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90EF3" w14:textId="77777777" w:rsidR="003752BA" w:rsidRPr="00285B63" w:rsidRDefault="0087091A" w:rsidP="00DC56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5B63">
        <w:rPr>
          <w:rFonts w:ascii="Arial" w:hAnsi="Arial" w:cs="Arial"/>
          <w:b/>
          <w:sz w:val="18"/>
          <w:szCs w:val="18"/>
        </w:rPr>
        <w:t>COMISSÃO BRASILEIRA DE AGILITY</w:t>
      </w:r>
    </w:p>
    <w:p w14:paraId="6FAF2D88" w14:textId="77777777" w:rsidR="0087091A" w:rsidRPr="00285B63" w:rsidRDefault="0087091A" w:rsidP="008709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5B63">
        <w:rPr>
          <w:rFonts w:ascii="Arial" w:hAnsi="Arial" w:cs="Arial"/>
          <w:b/>
          <w:sz w:val="18"/>
          <w:szCs w:val="18"/>
        </w:rPr>
        <w:t xml:space="preserve">FORMULÁRIO DE MEDIÇÃO </w:t>
      </w:r>
      <w:r w:rsidR="00867C70" w:rsidRPr="00285B63">
        <w:rPr>
          <w:rFonts w:ascii="Arial" w:hAnsi="Arial" w:cs="Arial"/>
          <w:b/>
          <w:sz w:val="18"/>
          <w:szCs w:val="18"/>
        </w:rPr>
        <w:t xml:space="preserve">/ REAVALIAÇÃO DE MEDIÇÃO </w:t>
      </w:r>
      <w:r w:rsidRPr="00285B63">
        <w:rPr>
          <w:rFonts w:ascii="Arial" w:hAnsi="Arial" w:cs="Arial"/>
          <w:b/>
          <w:sz w:val="18"/>
          <w:szCs w:val="18"/>
        </w:rPr>
        <w:t>DE C</w:t>
      </w:r>
      <w:r w:rsidR="00506D1D">
        <w:rPr>
          <w:rFonts w:ascii="Arial" w:hAnsi="Arial" w:cs="Arial"/>
          <w:b/>
          <w:sz w:val="18"/>
          <w:szCs w:val="18"/>
        </w:rPr>
        <w:t>Â</w:t>
      </w:r>
      <w:r w:rsidRPr="00285B63">
        <w:rPr>
          <w:rFonts w:ascii="Arial" w:hAnsi="Arial" w:cs="Arial"/>
          <w:b/>
          <w:sz w:val="18"/>
          <w:szCs w:val="18"/>
        </w:rPr>
        <w:t>ES</w:t>
      </w:r>
    </w:p>
    <w:p w14:paraId="2E72AF85" w14:textId="77777777" w:rsidR="0087091A" w:rsidRPr="00285B63" w:rsidRDefault="0087091A" w:rsidP="008709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87091A" w:rsidRPr="00285B63" w14:paraId="075FE56A" w14:textId="77777777" w:rsidTr="004B22D1">
        <w:tc>
          <w:tcPr>
            <w:tcW w:w="8494" w:type="dxa"/>
          </w:tcPr>
          <w:p w14:paraId="00C45790" w14:textId="77777777" w:rsidR="0087091A" w:rsidRPr="00285B63" w:rsidRDefault="00566B6F" w:rsidP="008709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Prova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proofErr w:type="spell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Competition</w:t>
            </w:r>
            <w:proofErr w:type="spellEnd"/>
          </w:p>
        </w:tc>
      </w:tr>
      <w:tr w:rsidR="0087091A" w:rsidRPr="00285B63" w14:paraId="24E34527" w14:textId="77777777" w:rsidTr="004B22D1">
        <w:tc>
          <w:tcPr>
            <w:tcW w:w="8494" w:type="dxa"/>
          </w:tcPr>
          <w:p w14:paraId="04F0CC89" w14:textId="77777777" w:rsidR="0087091A" w:rsidRPr="00285B63" w:rsidRDefault="00566B6F" w:rsidP="008709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Etapa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7D67" w:rsidRPr="00285B63">
              <w:rPr>
                <w:rFonts w:ascii="Arial" w:hAnsi="Arial" w:cs="Arial"/>
                <w:sz w:val="18"/>
                <w:szCs w:val="18"/>
              </w:rPr>
              <w:t>–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Stage</w:t>
            </w:r>
            <w:proofErr w:type="spellEnd"/>
          </w:p>
        </w:tc>
      </w:tr>
      <w:tr w:rsidR="0087091A" w:rsidRPr="00285B63" w14:paraId="6F51ABBE" w14:textId="77777777" w:rsidTr="004B22D1">
        <w:tc>
          <w:tcPr>
            <w:tcW w:w="8494" w:type="dxa"/>
          </w:tcPr>
          <w:p w14:paraId="3DE0ACCB" w14:textId="77777777" w:rsidR="0087091A" w:rsidRPr="00285B63" w:rsidRDefault="00566B6F" w:rsidP="008709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Local e Data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proofErr w:type="spellEnd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 xml:space="preserve"> Date</w:t>
            </w:r>
            <w:proofErr w:type="gramEnd"/>
          </w:p>
        </w:tc>
      </w:tr>
    </w:tbl>
    <w:p w14:paraId="2B367ED4" w14:textId="77777777" w:rsidR="0087091A" w:rsidRPr="00285B63" w:rsidRDefault="0087091A" w:rsidP="008709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204"/>
        <w:gridCol w:w="4194"/>
      </w:tblGrid>
      <w:tr w:rsidR="0087091A" w:rsidRPr="00285B63" w14:paraId="26EB4FFF" w14:textId="77777777" w:rsidTr="00C70673">
        <w:tc>
          <w:tcPr>
            <w:tcW w:w="4204" w:type="dxa"/>
          </w:tcPr>
          <w:p w14:paraId="64AC4695" w14:textId="77777777" w:rsidR="0087091A" w:rsidRPr="00285B63" w:rsidRDefault="00566B6F" w:rsidP="008709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N. Carteira de Trabalho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Woork</w:t>
            </w:r>
            <w:proofErr w:type="spellEnd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 xml:space="preserve"> Book</w:t>
            </w:r>
          </w:p>
        </w:tc>
        <w:tc>
          <w:tcPr>
            <w:tcW w:w="4194" w:type="dxa"/>
          </w:tcPr>
          <w:p w14:paraId="401CAB7A" w14:textId="77777777" w:rsidR="0087091A" w:rsidRPr="00285B63" w:rsidRDefault="0087091A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91A" w:rsidRPr="00285B63" w14:paraId="117E918D" w14:textId="77777777" w:rsidTr="00C70673">
        <w:tc>
          <w:tcPr>
            <w:tcW w:w="4204" w:type="dxa"/>
          </w:tcPr>
          <w:p w14:paraId="2C68B9F6" w14:textId="77777777" w:rsidR="0087091A" w:rsidRPr="00285B63" w:rsidRDefault="00566B6F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Condutor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Handler</w:t>
            </w:r>
            <w:proofErr w:type="spellEnd"/>
          </w:p>
        </w:tc>
        <w:tc>
          <w:tcPr>
            <w:tcW w:w="4194" w:type="dxa"/>
          </w:tcPr>
          <w:p w14:paraId="48B2E16B" w14:textId="77777777" w:rsidR="0087091A" w:rsidRPr="00285B63" w:rsidRDefault="0087091A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91A" w:rsidRPr="00285B63" w14:paraId="561753D5" w14:textId="77777777" w:rsidTr="00C70673">
        <w:tc>
          <w:tcPr>
            <w:tcW w:w="4204" w:type="dxa"/>
          </w:tcPr>
          <w:p w14:paraId="3FA2933B" w14:textId="77777777" w:rsidR="0087091A" w:rsidRPr="00285B63" w:rsidRDefault="00566B6F" w:rsidP="008709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Cão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7D67" w:rsidRPr="00285B63">
              <w:rPr>
                <w:rFonts w:ascii="Arial" w:hAnsi="Arial" w:cs="Arial"/>
                <w:sz w:val="18"/>
                <w:szCs w:val="18"/>
              </w:rPr>
              <w:t>–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Dog</w:t>
            </w:r>
          </w:p>
        </w:tc>
        <w:tc>
          <w:tcPr>
            <w:tcW w:w="4194" w:type="dxa"/>
          </w:tcPr>
          <w:p w14:paraId="5AF72370" w14:textId="77777777" w:rsidR="0087091A" w:rsidRPr="00285B63" w:rsidRDefault="0087091A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8CC4E1" w14:textId="77777777" w:rsidR="00C70673" w:rsidRPr="00285B63" w:rsidRDefault="00C70673" w:rsidP="00C706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198"/>
        <w:gridCol w:w="4200"/>
      </w:tblGrid>
      <w:tr w:rsidR="00C70673" w:rsidRPr="00285B63" w14:paraId="05E259AF" w14:textId="77777777" w:rsidTr="00C70673">
        <w:tc>
          <w:tcPr>
            <w:tcW w:w="4198" w:type="dxa"/>
          </w:tcPr>
          <w:p w14:paraId="3B69B984" w14:textId="7A129AA4" w:rsidR="00C70673" w:rsidRPr="00C70673" w:rsidRDefault="00C70673" w:rsidP="007476B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Small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até 34,99 cm</w:t>
            </w:r>
          </w:p>
        </w:tc>
        <w:tc>
          <w:tcPr>
            <w:tcW w:w="4200" w:type="dxa"/>
          </w:tcPr>
          <w:p w14:paraId="61FEC542" w14:textId="1AB61E53" w:rsidR="00C70673" w:rsidRPr="00285B63" w:rsidRDefault="00C70673" w:rsidP="007476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B63">
              <w:rPr>
                <w:rFonts w:ascii="Arial" w:hAnsi="Arial" w:cs="Arial"/>
                <w:sz w:val="18"/>
                <w:szCs w:val="18"/>
              </w:rPr>
              <w:t>– de 35 cm até 42,99 cm</w:t>
            </w:r>
          </w:p>
        </w:tc>
      </w:tr>
      <w:tr w:rsidR="00C70673" w:rsidRPr="00285B63" w14:paraId="61A87B15" w14:textId="77777777" w:rsidTr="00C70673">
        <w:tc>
          <w:tcPr>
            <w:tcW w:w="4198" w:type="dxa"/>
          </w:tcPr>
          <w:p w14:paraId="579746D8" w14:textId="26BA4DEE" w:rsidR="00C70673" w:rsidRPr="00285B63" w:rsidRDefault="00C70673" w:rsidP="007476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14:paraId="6185B61E" w14:textId="77777777" w:rsidR="00C70673" w:rsidRPr="00285B63" w:rsidRDefault="00C70673" w:rsidP="007476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016E62" w14:textId="77777777" w:rsidR="00C70673" w:rsidRPr="00285B63" w:rsidRDefault="00C70673" w:rsidP="00C706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206"/>
        <w:gridCol w:w="4192"/>
      </w:tblGrid>
      <w:tr w:rsidR="00C70673" w:rsidRPr="00285B63" w14:paraId="1421AA3F" w14:textId="77777777" w:rsidTr="00C70673">
        <w:tc>
          <w:tcPr>
            <w:tcW w:w="4206" w:type="dxa"/>
          </w:tcPr>
          <w:p w14:paraId="1EF46BD0" w14:textId="7BD3624A" w:rsidR="00C70673" w:rsidRPr="00C70673" w:rsidRDefault="00C70673" w:rsidP="00C7067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Intermediate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de 43 cm até 47,99 cm</w:t>
            </w:r>
          </w:p>
        </w:tc>
        <w:tc>
          <w:tcPr>
            <w:tcW w:w="4192" w:type="dxa"/>
          </w:tcPr>
          <w:p w14:paraId="21D8C59C" w14:textId="7A5778D4" w:rsidR="00C70673" w:rsidRPr="00285B63" w:rsidRDefault="00C70673" w:rsidP="00C70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B63">
              <w:rPr>
                <w:rFonts w:ascii="Arial" w:hAnsi="Arial" w:cs="Arial"/>
                <w:sz w:val="18"/>
                <w:szCs w:val="18"/>
              </w:rPr>
              <w:t>Large</w:t>
            </w:r>
            <w:proofErr w:type="spellEnd"/>
            <w:r w:rsidRPr="00285B63">
              <w:rPr>
                <w:rFonts w:ascii="Arial" w:hAnsi="Arial" w:cs="Arial"/>
                <w:sz w:val="18"/>
                <w:szCs w:val="18"/>
              </w:rPr>
              <w:t xml:space="preserve"> – a</w:t>
            </w:r>
            <w:r>
              <w:rPr>
                <w:rFonts w:ascii="Arial" w:hAnsi="Arial" w:cs="Arial"/>
                <w:sz w:val="18"/>
                <w:szCs w:val="18"/>
              </w:rPr>
              <w:t xml:space="preserve">cima </w:t>
            </w:r>
            <w:r w:rsidRPr="00285B63">
              <w:rPr>
                <w:rFonts w:ascii="Arial" w:hAnsi="Arial" w:cs="Arial"/>
                <w:sz w:val="18"/>
                <w:szCs w:val="18"/>
              </w:rPr>
              <w:t>de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85B63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</w:tr>
      <w:tr w:rsidR="00C70673" w:rsidRPr="00285B63" w14:paraId="4A727321" w14:textId="77777777" w:rsidTr="00C70673">
        <w:tc>
          <w:tcPr>
            <w:tcW w:w="4206" w:type="dxa"/>
          </w:tcPr>
          <w:p w14:paraId="6A8CEBAE" w14:textId="77777777" w:rsidR="00C70673" w:rsidRPr="00285B63" w:rsidRDefault="00C70673" w:rsidP="00C70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2" w:type="dxa"/>
          </w:tcPr>
          <w:p w14:paraId="3B3A6647" w14:textId="77777777" w:rsidR="00C70673" w:rsidRPr="00285B63" w:rsidRDefault="00C70673" w:rsidP="00C70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08A34" w14:textId="18A48656" w:rsidR="00EE2FD3" w:rsidRDefault="00EE2FD3" w:rsidP="008709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F4578E" w:rsidRPr="00285B63" w14:paraId="00ADF6D9" w14:textId="77777777" w:rsidTr="00F4578E">
        <w:tc>
          <w:tcPr>
            <w:tcW w:w="8398" w:type="dxa"/>
          </w:tcPr>
          <w:p w14:paraId="4353CB60" w14:textId="08C47711" w:rsidR="00F4578E" w:rsidRPr="00285B63" w:rsidRDefault="00F4578E" w:rsidP="009265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Veterinário(a) </w:t>
            </w:r>
            <w:r w:rsidRPr="00285B63">
              <w:rPr>
                <w:rFonts w:ascii="Arial" w:hAnsi="Arial" w:cs="Arial"/>
                <w:sz w:val="18"/>
                <w:szCs w:val="18"/>
              </w:rPr>
              <w:t xml:space="preserve">CBA – 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 w:rsidRPr="00F4578E">
              <w:rPr>
                <w:rFonts w:ascii="Arial" w:hAnsi="Arial" w:cs="Arial"/>
                <w:sz w:val="18"/>
                <w:szCs w:val="18"/>
              </w:rPr>
              <w:t xml:space="preserve">T CBA </w:t>
            </w:r>
            <w:r w:rsidR="00485E60">
              <w:rPr>
                <w:rFonts w:ascii="Arial" w:hAnsi="Arial" w:cs="Arial"/>
                <w:sz w:val="18"/>
                <w:szCs w:val="18"/>
              </w:rPr>
              <w:t>–</w:t>
            </w:r>
            <w:r w:rsidRPr="00F4578E">
              <w:rPr>
                <w:rFonts w:ascii="Arial" w:hAnsi="Arial" w:cs="Arial"/>
                <w:sz w:val="18"/>
                <w:szCs w:val="18"/>
              </w:rPr>
              <w:t xml:space="preserve"> CRMV</w:t>
            </w:r>
            <w:r w:rsidR="00485E60">
              <w:rPr>
                <w:rFonts w:ascii="Arial" w:hAnsi="Arial" w:cs="Arial"/>
                <w:sz w:val="18"/>
                <w:szCs w:val="18"/>
              </w:rPr>
              <w:t xml:space="preserve"> ou Árbitro CBKC</w:t>
            </w:r>
          </w:p>
        </w:tc>
      </w:tr>
      <w:tr w:rsidR="00F4578E" w:rsidRPr="00285B63" w14:paraId="31ED67AB" w14:textId="77777777" w:rsidTr="00F4578E">
        <w:tc>
          <w:tcPr>
            <w:tcW w:w="8398" w:type="dxa"/>
          </w:tcPr>
          <w:p w14:paraId="2CE3958F" w14:textId="77777777" w:rsidR="00F4578E" w:rsidRPr="00285B63" w:rsidRDefault="00F4578E" w:rsidP="0092659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 xml:space="preserve">Ass.- </w:t>
            </w:r>
            <w:proofErr w:type="spellStart"/>
            <w:r w:rsidRPr="00285B6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7BAECC7E" w14:textId="77777777" w:rsidR="00F4578E" w:rsidRPr="00285B63" w:rsidRDefault="00F4578E" w:rsidP="00F4578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198"/>
      </w:tblGrid>
      <w:tr w:rsidR="007A707F" w:rsidRPr="00285B63" w14:paraId="49687FEA" w14:textId="77777777" w:rsidTr="00F4578E">
        <w:tc>
          <w:tcPr>
            <w:tcW w:w="4200" w:type="dxa"/>
          </w:tcPr>
          <w:p w14:paraId="1A606EEE" w14:textId="77777777" w:rsidR="007A707F" w:rsidRPr="00285B63" w:rsidRDefault="007A707F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Juiz de Beleza Especializado na Raça</w:t>
            </w:r>
          </w:p>
          <w:p w14:paraId="008C6792" w14:textId="77777777" w:rsidR="007A707F" w:rsidRPr="00285B63" w:rsidRDefault="007A707F" w:rsidP="007A707F">
            <w:pPr>
              <w:pStyle w:val="Pr-formataoHTML"/>
              <w:shd w:val="clear" w:color="auto" w:fill="FFFFFF"/>
              <w:rPr>
                <w:rFonts w:ascii="Arial" w:hAnsi="Arial" w:cs="Arial"/>
                <w:i/>
                <w:color w:val="212121"/>
                <w:sz w:val="18"/>
                <w:szCs w:val="18"/>
              </w:rPr>
            </w:pPr>
            <w:r w:rsidRPr="00285B63">
              <w:rPr>
                <w:rFonts w:ascii="Arial" w:hAnsi="Arial" w:cs="Arial"/>
                <w:i/>
                <w:color w:val="212121"/>
                <w:sz w:val="18"/>
                <w:szCs w:val="18"/>
                <w:lang w:val="en"/>
              </w:rPr>
              <w:t>Beauty Judge Specializing in Race</w:t>
            </w:r>
          </w:p>
        </w:tc>
        <w:tc>
          <w:tcPr>
            <w:tcW w:w="4198" w:type="dxa"/>
          </w:tcPr>
          <w:p w14:paraId="256E0DFA" w14:textId="5FDDB5A5" w:rsidR="007A707F" w:rsidRPr="00285B63" w:rsidRDefault="007A707F" w:rsidP="007A707F">
            <w:pPr>
              <w:pStyle w:val="Pr-formataoHTM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Juiz</w:t>
            </w:r>
            <w:r w:rsidR="00485E60">
              <w:rPr>
                <w:rFonts w:ascii="Arial" w:hAnsi="Arial" w:cs="Arial"/>
                <w:sz w:val="18"/>
                <w:szCs w:val="18"/>
              </w:rPr>
              <w:t xml:space="preserve"> Nacional ou</w:t>
            </w:r>
            <w:r w:rsidRPr="00285B63">
              <w:rPr>
                <w:rFonts w:ascii="Arial" w:hAnsi="Arial" w:cs="Arial"/>
                <w:sz w:val="18"/>
                <w:szCs w:val="18"/>
              </w:rPr>
              <w:t xml:space="preserve"> Internacional de </w:t>
            </w:r>
            <w:proofErr w:type="spellStart"/>
            <w:r w:rsidRPr="00285B63">
              <w:rPr>
                <w:rFonts w:ascii="Arial" w:hAnsi="Arial" w:cs="Arial"/>
                <w:sz w:val="18"/>
                <w:szCs w:val="18"/>
              </w:rPr>
              <w:t>Agility</w:t>
            </w:r>
            <w:proofErr w:type="spellEnd"/>
            <w:r w:rsidRPr="00285B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1B03AB" w14:textId="77777777" w:rsidR="007A707F" w:rsidRPr="00285B63" w:rsidRDefault="007A707F" w:rsidP="007A707F">
            <w:pPr>
              <w:pStyle w:val="Pr-formataoHTM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85B63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Start"/>
            <w:r w:rsidRPr="00285B63">
              <w:rPr>
                <w:rFonts w:ascii="Arial" w:hAnsi="Arial" w:cs="Arial"/>
                <w:i/>
                <w:color w:val="212121"/>
                <w:sz w:val="18"/>
                <w:szCs w:val="18"/>
                <w:lang w:val="en"/>
              </w:rPr>
              <w:t>nternational</w:t>
            </w:r>
            <w:proofErr w:type="spellEnd"/>
            <w:r w:rsidRPr="00285B63">
              <w:rPr>
                <w:rFonts w:ascii="Arial" w:hAnsi="Arial" w:cs="Arial"/>
                <w:i/>
                <w:color w:val="212121"/>
                <w:sz w:val="18"/>
                <w:szCs w:val="18"/>
                <w:lang w:val="en"/>
              </w:rPr>
              <w:t xml:space="preserve"> Agility Judge</w:t>
            </w:r>
          </w:p>
        </w:tc>
      </w:tr>
      <w:tr w:rsidR="007A707F" w:rsidRPr="00285B63" w14:paraId="4AEA6A36" w14:textId="77777777" w:rsidTr="00F4578E">
        <w:tc>
          <w:tcPr>
            <w:tcW w:w="4200" w:type="dxa"/>
          </w:tcPr>
          <w:p w14:paraId="49000C76" w14:textId="77777777" w:rsidR="007A707F" w:rsidRPr="00285B63" w:rsidRDefault="007A707F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</w:tcPr>
          <w:p w14:paraId="21EAE1F0" w14:textId="77777777" w:rsidR="007A707F" w:rsidRPr="00285B63" w:rsidRDefault="007A707F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07F" w:rsidRPr="00285B63" w14:paraId="46FEB8D0" w14:textId="77777777" w:rsidTr="00F4578E">
        <w:tc>
          <w:tcPr>
            <w:tcW w:w="4200" w:type="dxa"/>
          </w:tcPr>
          <w:p w14:paraId="1DF97209" w14:textId="77777777" w:rsidR="007A707F" w:rsidRPr="00285B63" w:rsidRDefault="007A707F" w:rsidP="007A707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 xml:space="preserve">Ass.- </w:t>
            </w:r>
            <w:proofErr w:type="spellStart"/>
            <w:r w:rsidRPr="00285B6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4198" w:type="dxa"/>
          </w:tcPr>
          <w:p w14:paraId="059883A3" w14:textId="77777777" w:rsidR="007A707F" w:rsidRPr="00285B63" w:rsidRDefault="007A707F" w:rsidP="007A707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 xml:space="preserve">Ass.- </w:t>
            </w:r>
            <w:proofErr w:type="spellStart"/>
            <w:r w:rsidRPr="00285B6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3504F109" w14:textId="77777777" w:rsidR="00566B6F" w:rsidRPr="00285B63" w:rsidRDefault="00566B6F" w:rsidP="008709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87091A" w:rsidRPr="00285B63" w14:paraId="1D04CD1A" w14:textId="77777777" w:rsidTr="006B32A5">
        <w:tc>
          <w:tcPr>
            <w:tcW w:w="8494" w:type="dxa"/>
          </w:tcPr>
          <w:p w14:paraId="199FA836" w14:textId="77777777" w:rsidR="0087091A" w:rsidRPr="00285B63" w:rsidRDefault="00566B6F" w:rsidP="00870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>Coordenador(a)(s) CBA</w:t>
            </w:r>
            <w:r w:rsidR="007A707F" w:rsidRPr="00285B6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>Coordinator</w:t>
            </w:r>
            <w:proofErr w:type="spellEnd"/>
            <w:r w:rsidR="007A707F" w:rsidRPr="00285B63">
              <w:rPr>
                <w:rFonts w:ascii="Arial" w:hAnsi="Arial" w:cs="Arial"/>
                <w:i/>
                <w:sz w:val="18"/>
                <w:szCs w:val="18"/>
              </w:rPr>
              <w:t xml:space="preserve"> CBA</w:t>
            </w:r>
          </w:p>
        </w:tc>
      </w:tr>
      <w:tr w:rsidR="007A707F" w:rsidRPr="00285B63" w14:paraId="2F5DEB77" w14:textId="77777777" w:rsidTr="006B32A5">
        <w:tc>
          <w:tcPr>
            <w:tcW w:w="8494" w:type="dxa"/>
          </w:tcPr>
          <w:p w14:paraId="5C3D1BBC" w14:textId="77777777" w:rsidR="007A707F" w:rsidRPr="00285B63" w:rsidRDefault="007A707F" w:rsidP="007A707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B63">
              <w:rPr>
                <w:rFonts w:ascii="Arial" w:hAnsi="Arial" w:cs="Arial"/>
                <w:sz w:val="18"/>
                <w:szCs w:val="18"/>
              </w:rPr>
              <w:t xml:space="preserve">Ass.- </w:t>
            </w:r>
            <w:proofErr w:type="spellStart"/>
            <w:r w:rsidRPr="00285B6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411F0AD9" w14:textId="77777777" w:rsidR="0087091A" w:rsidRPr="00285B63" w:rsidRDefault="0087091A" w:rsidP="008709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C355D6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b/>
          <w:bCs/>
          <w:sz w:val="15"/>
          <w:szCs w:val="15"/>
        </w:rPr>
        <w:t>Art. 31 -</w:t>
      </w:r>
      <w:r w:rsidRPr="00FE6D12">
        <w:rPr>
          <w:rFonts w:ascii="Arial" w:hAnsi="Arial" w:cs="Arial"/>
          <w:sz w:val="15"/>
          <w:szCs w:val="15"/>
        </w:rPr>
        <w:t xml:space="preserve"> Todos os cães serão medidos/avaliados na data da prova oficial em que estrearem no Grau I, antes do início do evento, por veterinários da CBA ou árbitros CBKC, para se enquadrarem nas categorias </w:t>
      </w:r>
      <w:proofErr w:type="spellStart"/>
      <w:r w:rsidRPr="00FE6D12">
        <w:rPr>
          <w:rFonts w:ascii="Arial" w:hAnsi="Arial" w:cs="Arial"/>
          <w:sz w:val="15"/>
          <w:szCs w:val="15"/>
        </w:rPr>
        <w:t>Small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FE6D12">
        <w:rPr>
          <w:rFonts w:ascii="Arial" w:hAnsi="Arial" w:cs="Arial"/>
          <w:sz w:val="15"/>
          <w:szCs w:val="15"/>
        </w:rPr>
        <w:t>Medium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FE6D12">
        <w:rPr>
          <w:rFonts w:ascii="Arial" w:hAnsi="Arial" w:cs="Arial"/>
          <w:sz w:val="15"/>
          <w:szCs w:val="15"/>
        </w:rPr>
        <w:t>Intermediate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 e </w:t>
      </w:r>
      <w:proofErr w:type="spellStart"/>
      <w:r w:rsidRPr="00FE6D12">
        <w:rPr>
          <w:rFonts w:ascii="Arial" w:hAnsi="Arial" w:cs="Arial"/>
          <w:sz w:val="15"/>
          <w:szCs w:val="15"/>
        </w:rPr>
        <w:t>Large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. A medição será feita em centímetros e a respectiva categoria anotada </w:t>
      </w:r>
      <w:proofErr w:type="spellStart"/>
      <w:r w:rsidRPr="00FE6D12">
        <w:rPr>
          <w:rFonts w:ascii="Arial" w:hAnsi="Arial" w:cs="Arial"/>
          <w:sz w:val="15"/>
          <w:szCs w:val="15"/>
        </w:rPr>
        <w:t>na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 CT, conforme formulário anexo ao presente Regulamento (Anexo 1), ressalvadas as exceções previstas nos itens (e) e (f) deste artigo.</w:t>
      </w:r>
    </w:p>
    <w:p w14:paraId="4CC0D5DF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15"/>
          <w:szCs w:val="15"/>
        </w:rPr>
      </w:pPr>
    </w:p>
    <w:p w14:paraId="1CD9B1C4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 xml:space="preserve">(a) Cães da categoria </w:t>
      </w:r>
      <w:proofErr w:type="spellStart"/>
      <w:r w:rsidRPr="00FE6D12">
        <w:rPr>
          <w:rFonts w:ascii="Arial" w:hAnsi="Arial" w:cs="Arial"/>
          <w:sz w:val="15"/>
          <w:szCs w:val="15"/>
        </w:rPr>
        <w:t>Intermediate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 e </w:t>
      </w:r>
      <w:proofErr w:type="spellStart"/>
      <w:r w:rsidRPr="00FE6D12">
        <w:rPr>
          <w:rFonts w:ascii="Arial" w:hAnsi="Arial" w:cs="Arial"/>
          <w:sz w:val="15"/>
          <w:szCs w:val="15"/>
        </w:rPr>
        <w:t>Large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 poderão ser medidos em escolas/clubes ou em entidades cinófilas onde treinam, em qualquer momento, por veterinários da CBA ou árbitros CBKC, ressalvadas as exceções previstas nos itens (e) e (f) deste artigo.</w:t>
      </w:r>
    </w:p>
    <w:p w14:paraId="6685794D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98B7BA8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 xml:space="preserve">(b) As medições da categoria </w:t>
      </w:r>
      <w:proofErr w:type="spellStart"/>
      <w:r w:rsidRPr="00FE6D12">
        <w:rPr>
          <w:rFonts w:ascii="Arial" w:hAnsi="Arial" w:cs="Arial"/>
          <w:sz w:val="15"/>
          <w:szCs w:val="15"/>
        </w:rPr>
        <w:t>Intermediate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 ou medições duvidosas deverão ser confirmadas na primeira oportunidade em que a dupla participar de evento oficial,</w:t>
      </w:r>
      <w:r w:rsidRPr="00FE6D12" w:rsidDel="005261AC">
        <w:rPr>
          <w:rFonts w:ascii="Arial" w:hAnsi="Arial" w:cs="Arial"/>
          <w:sz w:val="15"/>
          <w:szCs w:val="15"/>
        </w:rPr>
        <w:t xml:space="preserve"> </w:t>
      </w:r>
      <w:r w:rsidRPr="00FE6D12">
        <w:rPr>
          <w:rFonts w:ascii="Arial" w:hAnsi="Arial" w:cs="Arial"/>
          <w:sz w:val="15"/>
          <w:szCs w:val="15"/>
        </w:rPr>
        <w:t>antes de seu início, por veterinários da CBA ou árbitros CBKC,</w:t>
      </w:r>
      <w:r w:rsidRPr="00FE6D12">
        <w:rPr>
          <w:rFonts w:ascii="Arial" w:hAnsi="Arial" w:cs="Arial"/>
          <w:color w:val="FF0000"/>
          <w:sz w:val="15"/>
          <w:szCs w:val="15"/>
        </w:rPr>
        <w:t xml:space="preserve"> </w:t>
      </w:r>
      <w:r w:rsidRPr="00FE6D12">
        <w:rPr>
          <w:rFonts w:ascii="Arial" w:hAnsi="Arial" w:cs="Arial"/>
          <w:sz w:val="15"/>
          <w:szCs w:val="15"/>
        </w:rPr>
        <w:t>ressalvadas as exceções previstas nos itens (e) e (f) deste artigo.</w:t>
      </w:r>
    </w:p>
    <w:p w14:paraId="67139919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5E52F57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>(c) As medições devem ser realizadas em um local reservado, contando apenas com a presença do condutor ou tutor do cão e do árbitro internacional CBKC que realizará a medição, ressalvadas as exceções previstas nos itens (e) e (f) deste artigo.</w:t>
      </w:r>
    </w:p>
    <w:p w14:paraId="745625F2" w14:textId="77777777" w:rsidR="00FE6D12" w:rsidRPr="00FE6D12" w:rsidRDefault="00FE6D12" w:rsidP="00FE6D1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7FAB32C" w14:textId="77777777" w:rsidR="00FE6D12" w:rsidRPr="00FE6D12" w:rsidRDefault="00FE6D12" w:rsidP="00FE6D1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 xml:space="preserve">(d) O nome do veterinário da CBA ou árbitro CBKC responsável pela medição deverá constar </w:t>
      </w:r>
      <w:proofErr w:type="spellStart"/>
      <w:r w:rsidRPr="00FE6D12">
        <w:rPr>
          <w:rFonts w:ascii="Arial" w:hAnsi="Arial" w:cs="Arial"/>
          <w:sz w:val="15"/>
          <w:szCs w:val="15"/>
        </w:rPr>
        <w:t>na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 CT do Cão.</w:t>
      </w:r>
    </w:p>
    <w:p w14:paraId="49BD1E6A" w14:textId="77777777" w:rsidR="00FE6D12" w:rsidRDefault="00FE6D12" w:rsidP="00FE6D1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5A20624" w14:textId="57469489" w:rsidR="00FE6D12" w:rsidRPr="00FE6D12" w:rsidRDefault="00FE6D12" w:rsidP="00FE6D1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>(e) Técnicos e criadores não poderão participar da medição do cão.</w:t>
      </w:r>
    </w:p>
    <w:p w14:paraId="43D279CE" w14:textId="77777777" w:rsidR="00FE6D12" w:rsidRPr="00FE6D12" w:rsidRDefault="00FE6D12" w:rsidP="00FE6D1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C97AECC" w14:textId="77777777" w:rsidR="00FE6D12" w:rsidRPr="00FE6D12" w:rsidRDefault="00FE6D12" w:rsidP="00FE6D1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>(f) O veterinário da CBA ou o árbitro CBKC responsável pela medição não pode ser o criador, parente do tutor, ou da mesma escola do cão que está sendo medido.</w:t>
      </w:r>
    </w:p>
    <w:p w14:paraId="6219B594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F57D725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E6D12">
        <w:rPr>
          <w:rFonts w:ascii="Arial" w:hAnsi="Arial" w:cs="Arial"/>
          <w:sz w:val="15"/>
          <w:szCs w:val="15"/>
        </w:rPr>
        <w:t>(g) As categorias serão divididas conforme a altura na cernelha do cão da seguinte forma:</w:t>
      </w:r>
    </w:p>
    <w:p w14:paraId="37E55AE4" w14:textId="77777777" w:rsidR="00FE6D12" w:rsidRPr="00FE6D12" w:rsidRDefault="00FE6D12" w:rsidP="00FE6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4DCBC5C" w14:textId="77777777" w:rsidR="00FE6D12" w:rsidRPr="00FE6D12" w:rsidRDefault="00FE6D12" w:rsidP="00FE6D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FE6D12">
        <w:rPr>
          <w:rFonts w:ascii="Arial" w:hAnsi="Arial" w:cs="Arial"/>
          <w:sz w:val="15"/>
          <w:szCs w:val="15"/>
        </w:rPr>
        <w:t>Small</w:t>
      </w:r>
      <w:proofErr w:type="spellEnd"/>
      <w:r w:rsidRPr="00FE6D12">
        <w:rPr>
          <w:rFonts w:ascii="Arial" w:hAnsi="Arial" w:cs="Arial"/>
          <w:sz w:val="15"/>
          <w:szCs w:val="15"/>
        </w:rPr>
        <w:t>: cães até 34,99 cm</w:t>
      </w:r>
    </w:p>
    <w:p w14:paraId="533305F7" w14:textId="77777777" w:rsidR="00FE6D12" w:rsidRPr="00FE6D12" w:rsidRDefault="00FE6D12" w:rsidP="00FE6D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FE6D12">
        <w:rPr>
          <w:rFonts w:ascii="Arial" w:hAnsi="Arial" w:cs="Arial"/>
          <w:sz w:val="15"/>
          <w:szCs w:val="15"/>
        </w:rPr>
        <w:t>Medium</w:t>
      </w:r>
      <w:proofErr w:type="spellEnd"/>
      <w:r w:rsidRPr="00FE6D12">
        <w:rPr>
          <w:rFonts w:ascii="Arial" w:hAnsi="Arial" w:cs="Arial"/>
          <w:sz w:val="15"/>
          <w:szCs w:val="15"/>
        </w:rPr>
        <w:t>: cães de 35 a 42,99 cm</w:t>
      </w:r>
    </w:p>
    <w:p w14:paraId="6778A7F9" w14:textId="77777777" w:rsidR="00FE6D12" w:rsidRPr="00FE6D12" w:rsidRDefault="00FE6D12" w:rsidP="00FE6D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FE6D12">
        <w:rPr>
          <w:rFonts w:ascii="Arial" w:hAnsi="Arial" w:cs="Arial"/>
          <w:sz w:val="15"/>
          <w:szCs w:val="15"/>
        </w:rPr>
        <w:t>Intermediate</w:t>
      </w:r>
      <w:proofErr w:type="spellEnd"/>
      <w:r w:rsidRPr="00FE6D12">
        <w:rPr>
          <w:rFonts w:ascii="Arial" w:hAnsi="Arial" w:cs="Arial"/>
          <w:sz w:val="15"/>
          <w:szCs w:val="15"/>
        </w:rPr>
        <w:t xml:space="preserve">: cães de 43cm a 47,99 cm </w:t>
      </w:r>
    </w:p>
    <w:p w14:paraId="6719D535" w14:textId="1AD0F418" w:rsidR="007C2FD0" w:rsidRPr="00FE6D12" w:rsidRDefault="00FE6D12" w:rsidP="00FE6D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FE6D12">
        <w:rPr>
          <w:rFonts w:ascii="Arial" w:hAnsi="Arial" w:cs="Arial"/>
          <w:sz w:val="15"/>
          <w:szCs w:val="15"/>
        </w:rPr>
        <w:t>Large</w:t>
      </w:r>
      <w:proofErr w:type="spellEnd"/>
      <w:r w:rsidRPr="00FE6D12">
        <w:rPr>
          <w:rFonts w:ascii="Arial" w:hAnsi="Arial" w:cs="Arial"/>
          <w:sz w:val="15"/>
          <w:szCs w:val="15"/>
        </w:rPr>
        <w:t>: cães acima de 48 cm</w:t>
      </w:r>
    </w:p>
    <w:sectPr w:rsidR="007C2FD0" w:rsidRPr="00FE6D12" w:rsidSect="00E47D67">
      <w:pgSz w:w="11906" w:h="16838" w:code="9"/>
      <w:pgMar w:top="1418" w:right="1701" w:bottom="1418" w:left="1701" w:header="1134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6AC6" w14:textId="77777777" w:rsidR="00D676DA" w:rsidRDefault="00D676DA" w:rsidP="000D55B5">
      <w:pPr>
        <w:spacing w:after="0" w:line="240" w:lineRule="auto"/>
      </w:pPr>
      <w:r>
        <w:separator/>
      </w:r>
    </w:p>
  </w:endnote>
  <w:endnote w:type="continuationSeparator" w:id="0">
    <w:p w14:paraId="52AAEA75" w14:textId="77777777" w:rsidR="00D676DA" w:rsidRDefault="00D676DA" w:rsidP="000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70C5" w14:textId="77777777" w:rsidR="00D676DA" w:rsidRDefault="00D676DA" w:rsidP="000D55B5">
      <w:pPr>
        <w:spacing w:after="0" w:line="240" w:lineRule="auto"/>
      </w:pPr>
      <w:r>
        <w:separator/>
      </w:r>
    </w:p>
  </w:footnote>
  <w:footnote w:type="continuationSeparator" w:id="0">
    <w:p w14:paraId="6EBCC4B9" w14:textId="77777777" w:rsidR="00D676DA" w:rsidRDefault="00D676DA" w:rsidP="000D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484"/>
    <w:multiLevelType w:val="hybridMultilevel"/>
    <w:tmpl w:val="359E7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D96"/>
    <w:multiLevelType w:val="hybridMultilevel"/>
    <w:tmpl w:val="E6481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1A"/>
    <w:rsid w:val="00075752"/>
    <w:rsid w:val="000A436A"/>
    <w:rsid w:val="000D55B5"/>
    <w:rsid w:val="001C0ABB"/>
    <w:rsid w:val="002425C5"/>
    <w:rsid w:val="00285B63"/>
    <w:rsid w:val="003752BA"/>
    <w:rsid w:val="00434425"/>
    <w:rsid w:val="0048589C"/>
    <w:rsid w:val="00485E60"/>
    <w:rsid w:val="00492F08"/>
    <w:rsid w:val="004B22D1"/>
    <w:rsid w:val="00506D1D"/>
    <w:rsid w:val="0050707A"/>
    <w:rsid w:val="00566B6F"/>
    <w:rsid w:val="00567C41"/>
    <w:rsid w:val="00656060"/>
    <w:rsid w:val="006B32A5"/>
    <w:rsid w:val="00792338"/>
    <w:rsid w:val="007A707F"/>
    <w:rsid w:val="007C2FD0"/>
    <w:rsid w:val="00861C6F"/>
    <w:rsid w:val="00863990"/>
    <w:rsid w:val="00867C70"/>
    <w:rsid w:val="0087091A"/>
    <w:rsid w:val="008B0FAF"/>
    <w:rsid w:val="009844C6"/>
    <w:rsid w:val="009B36FF"/>
    <w:rsid w:val="00BA55B0"/>
    <w:rsid w:val="00C05CDE"/>
    <w:rsid w:val="00C11C59"/>
    <w:rsid w:val="00C70673"/>
    <w:rsid w:val="00CF541F"/>
    <w:rsid w:val="00D34842"/>
    <w:rsid w:val="00D676DA"/>
    <w:rsid w:val="00DC560E"/>
    <w:rsid w:val="00E47D67"/>
    <w:rsid w:val="00EE2FD3"/>
    <w:rsid w:val="00F4578E"/>
    <w:rsid w:val="00F625A6"/>
    <w:rsid w:val="00FA692D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529A"/>
  <w15:chartTrackingRefBased/>
  <w15:docId w15:val="{9409FEA0-3374-49BE-96D6-617B3D1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C7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A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A707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5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5B5"/>
  </w:style>
  <w:style w:type="paragraph" w:styleId="Rodap">
    <w:name w:val="footer"/>
    <w:basedOn w:val="Normal"/>
    <w:link w:val="RodapChar"/>
    <w:uiPriority w:val="99"/>
    <w:unhideWhenUsed/>
    <w:rsid w:val="000D5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CLAUDIA CARVALHO FLORENTINO</cp:lastModifiedBy>
  <cp:revision>2</cp:revision>
  <dcterms:created xsi:type="dcterms:W3CDTF">2024-03-26T21:22:00Z</dcterms:created>
  <dcterms:modified xsi:type="dcterms:W3CDTF">2024-03-26T21:22:00Z</dcterms:modified>
</cp:coreProperties>
</file>